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«Вешки» (далее – Общество) обратилось в Арбитражный суд Московской области с иском, уточненным в порядке статьи 49 Арбитражного процессуального кодекса Российской Федерации (далее – АПК РФ), к Степанову Олегу Владимировичу об обязании передать документы, связанные с деятельностью Общества и перечисленные в исковом заявлении, Решением Арбитражного суда Московской области от 13.03.2020, оставленным без изменения постановлением Десятого арбитражного апелляционного суда от 24.08.2020 и постановлением Арбитражного суда Московского округа от 23.11.2020,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суды неправомерно пришли к выводу об удержании ответчиком испрашиваемой документации, Обществу в добровольном порядке переданы учредительные документы юридического лица. Общество не приняло никаких мер для проведения совместной инвентаризации; истцом истребуются не существовавшие документы. 2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заявленные требования мотивированы тем, что при смене единоличного исполнительного органа Общества его бывший генеральный директор Степанов О.В. не передал испрашиваемые документы о деятельности хозяйствующего субъекта. Исследовав и оценив по правилам статьи 71 АПК РФ представленные доказательства, руководствуясь статьями 69, 89 Федерального закона от 26.12.1995 № 208-ФЗ «Об акционерных обществах», нормами Федерального закона от 06.12.2011 № 402-ФЗ «О бухгалтерском учете» и Положением о порядке и сроках хранения документов акционерных обществ, утвержденным постановлением Федеральной комиссии по рынку ценных бумаг от 16.07.2003 № 03-33/пс, суды удовлетворили заявленные требования, правомерно указав, что в обязанности ответчика, исполнявшего ранее полномочия единоличного исполнительного органа, входило обеспечение сохранности документов Общества, в связи с чем ответчик обязан передать вновь избранному директору документацию, необходимую для осуществления руководства текущей деятельностью юридического лица; ответчик не представил доказательств передачи истребуемой документации.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Степанова Олега Владимировича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