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Клыков Александр Сергеевич обратился в суд с заявлением о включении в реестр требований кредиторов должника (далее – реестр) требования в размере 328 527 рублей 37 копеек. Определением Арбитражного суда города Санкт-Петербурга и Ленинградской области от 10.04.2020 требования признаны обоснованными и включены в третью очередь реестра. Постановлением Тринадцатого арбитражного апелляционного суда от 28.07.2020 вышеуказанное определение отменено, в удовлетворении заявления отказано. Постановлением Арбитражного суда Северо-Западного округа от 16.10.2020 отменено постановление апелляционного суда от 28.07.2020, определение суда первой инстанции от 10.04.2020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Включая заявленное требование в третью очередь реестра, суд первой инстанции, руководствуясь статьями 4, 16, 134 Федерального закона от 26.10.2002 № 127-ФЗ «О несостоятельности (банкротстве)», установил, что оно подтверждено документально, не является текущим и не погашено должником на день рассмотрения заявления. Суд округа согласился с данными выводами, сочтя невозможной квалификацию требования по присужденным к выплате с должника в пользу Клыкова А.С. судебным расходам как вытекающего из факта участия,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обществом с ограниченной ответственностью «Содружество 57» Пархоменко Александру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