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залога от 24.07.2014 № 305-14/И1-14Ф (далее – сделка), заключенного между должником и акционерным обществом Банк «Финансовая Корпорация Открытие» (далее – банк); применении последствий недействительности сделки в виде исключения из реестра требований кредиторов должника требования банка, обеспеченного залогом имущества должника. Определением Арбитражного суда Свердловской области от 12.02.2020 заявление удовлетворено. Постановлением Семнадцатого арбитражного апелляционного суда от 23.07.2020, оставленным без изменения постановлением Арбитражного суда Уральского округа от 19.10.2020,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повторно разрешая спор, апелляционный суд, руководствуясь статьями 181 , 195 , 199 , 204 Гражданского кодекса Российской Федерации, статьёй 46 Федерального закона от 08.02.1998 № 14-ФЗ «Об обществах с ограниченной ответственностью», пунктами 3,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признал ошибочным содержащийся в нём вывод о соблюдении заявителем срока на обращение в суд с заявлением об оспаривании сделки, придя к выводу об отсутствии оснований для признания сделки недействительной и незаключённой.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«Техальянс»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ГОРОДА ЕКАТЕРИНБУРГА (подробнее) АО "ЕКАТЕРИНБУРГЭНЕРГОСБЫТ" (подробнее) ИП Раздьяконов Евгений Сергеевич (подробнее) Межрайонная инспекция Федеральной налоговой службы №25 по Свердловской области (подробнее) МУП ЕКАТЕРИНБУРГСКОЕ ВОДОПРОВОДНО-КАНАЛИЗАЦИОННОГО ХОЗЯЙСТВА (подробнее) ООО "УРАЛТЕХМЕТ" (подробнее) ПАО Банк "ФК Открытие" (подробнее) Ответчики: ООО "ТехАльянс" (подробнее) Иные лица: АССОЦИАЦИЯ "САМОРЕГУЛИРУЕМАЯ ОРГАНИЗАЦИЯ АРБИТРАЖНЫХ УПРАВЛЯЮЩИХ "ЛИГА" (подробнее) ИФНС по Верх- Исетскому району г. Екатеринбурга (подробнее) САМОРЕГУЛИРУЕМАЯ ОРГАНИЗАЦИЯ "АССОЦИАЦИЯ АРБИТРАЖНЫХ УПРАВЛЯЮЩИХ "ПАРИТЕТ" (подробнее) Судьи дела: Корнелюк Е.С.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