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перечисления должником обществу с ограниченной ответственностью «Краймиан Венчэ Кампани» (далее – общество) денежных средств в размере 19 381 060 рублей 80 копеек; применении последствий недействительности сделки. Определением Арбитражного суда Новосибирской области от 19.05.2020, оставленным без изменения постановлениями Седьмого арбитражного апелляционного суда от 31.07.2020 и Арбитражного суда Западно-Сибирского округа от 26.10.2020,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Новосибирской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61.3 и 61.4 Федерального закона от 26.10.2002 № 127-ФЗ «О несостоятельности (банкротстве)», пунктом 12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установленных по делу обстоятельств совершения оспариваемой сделки в пределах обычной хозяйственной деятельности с неосведомлённым о неплатёжеспособности должника и не злоупотребившим своим правом обществом, сумма по которой не превысила установленного законом порогового значения в один процент от балансовой стоимости активов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Приводимые заявителем в жалобе доводы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«Компания Холидей» Кузнецову Трофиму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