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28.01.2020, оставленным без изменения постановлением Восемнадцатого арбитражного апелляционного суда от 19.06.2020, иск удовлетворен. Постановлением Арбитражного суда Уральского округа от 16.10.2020 решение и постановление апелляционного суда отменены, в удовлетворении иска отказано вследствие пропуска срока исковой давности, о применении которой заявил ответчик. В кассационной жалобе учреждение просит об отмене судебных актов, ссылаясь на необходимость определения начала течения срока исковой давности с момента получения осведомленности о надлежащем владельце транспортного средства.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учреждения об отсутствии осведомленности о владельце транспортного средства на период причинения вреда и необходимости исчисления срока на иск к нему с момента получения осведомленности в рамках предъявленного иска окружным судом оценен в соответствии с правилом статьи 200 Гражданского кодекса Российской Федерации и судебным толкованием норм об исковой давности.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«Главное управление дорожного хозяйства Оренбургской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