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10.04.2020 иск удовлетворен частично: суд обязал общество «АБ-Консультант» в течение 5 рабочих дней с момента вступления в силу решения суда удалить с сайта в сети интернет по ссылке http://ufapravo.ru отзыв общества «Водоканалпроект» от 18.01.2016 о работе общества «АБ-Консультант». Постановлением Восемнадцатого арбитражного апелляционного суда от 29.06.2020 решение от 10.04.2020 в обжалуемой ответчиком части отменено, в удовлетворении исковых требований отказано. Постановлением Арбитражного суда Уральского округа от 21.10.2020 постановление апелляционного суда отменено, решение оставлено в силе. В кассационной жалобе общество «АБ-Консультант» просит отменить решение и постановление окружного суда, ссылаясь на отсутствие 2 доказательств нарушения прав и умаления деловой репутации истца, недобросовестности ответчика, обязательства о размещении отзыва.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Оставление отзыва о сотрудничестве в рамках существовавшего обязательства является субъективным правом истца. Выражение изменения мнения также является субъективным правом истца, подлежащим защите при установленной судами невозможности доведения его в том же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«АБ-Консультант»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