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17.12.2019, оставленным без изменения постановлением Девятого арбитражного апелляционного суда от 25.06.2020, иск удовлетворен. Арбитражный суд Московского округа постановлением от 12.10.2020 решение от 17.12.2019 и постановление Девятого арбитражного апелляционного суда от 25.06.2020 оставил без изменения. В кассационной жалобе общество «Росгосстрах» просит об отмене судебных актов, ссылаясь на противоречие взыскания страховой выплаты без учета амортизационного износа условиям страхования, непринятие страхователем разумных и доступных мер для уменьшения возможных убытков.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Взыскание страхового возмещения в заявленном размере соответствует условиям страхования по риску «Угон» на период страхования с 29.12.2016 по 29.12.2017 и понятию страховой выплаты в полной страховой сумме, содержащемуся в пункте 5 статьи 10 Закона Российской Федерации от 27.11.1992 № 4015-1 «Об организации страхового дела в Российской Федерации». Предусмотренного статьей 962 Гражданского кодекса Российской Федерации основания и не соответствующих договору действий страхователя, позволяющих отказать в страховой выплате, судами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