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без рассмотрения по существу определением Верховного Суда Российской Федерации от 27.01.2021 на основании пункта 1 части 1 статьи 291.5 Арбитражного процессуального кодекса Российской Федерации в связи с отказом в удовлетворении ходатайства об отсрочке уплаты государственной пошлины.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09.02.2021,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указанным Кодексом.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А28-2005/2019 является постановление Арбитражного суда Волго-Вятского округа от 17.11.2020, вступившее в законную силу, согласно части 5 статьи 289 АПК РФ, со дня его принятия – 17.11.2020, следовательно, двухмесячный срок на подачу кассационной жалобы истек 18.01.2021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ненадлежащая первоначальная подача кассационной жалобы и последующая уплата государственной пошлины 02.02.2021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«Авто-профиль» в удовлетворении ходатайства о восстановлении пропущенного процессуального срока подачи кассационной жалобы на решение Арбитражного суда Кировской области от 17.04.2020 по делу № А28-2005/2019, постановление Второго арбитражного апелляционного суда от 02.07.2020 и постановление Арбитражного суда Волго-Вятского округа от 17.11.2020 по тому же делу. Жалобу общества с ограниченной ответственностью «Авто-профиль»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