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18.06.2020, оставленным без изменения постановлением Четвертого арбитражного апелляционного суда от 04.09.2020, взыскано 2 336 888 рублей убытков. Арбитражный суд Восточно-Сибирского округа постановлением от 07.12.2020 решение от 18.06.2020 и постановление Четвертого арбитражного апелляционного суда от 04.09.2020 оставил без изменения. В кассационной жалобе учреждение просит об отмене судебных актов, ссылаясь на недобросовестное длительное непредъявление требований, повлиявшее на размер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в силу статей 15, 393 Гражданского кодекса Российской Федерации условия для взыскания убытков, не подлежат переоценке на стадии кассационного пересмотра судебных актов. Предъявление требования в суд в пределах срока исковой давности не может расцениваться в качестве недобросовестного поведения.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2 Главного управления Федеральной службы исполнения наказаний по Иркутской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