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28.01.2020, оставленным без изменения постановлением Девятого арбитражного апелляционного суда от 20.08.2020, взыскано в российских рублях исходя из курса валют, установленного Банком России и действующим на дату исполнения судебного акта 1.627,07 долларов США неосновательного обогащения, 25,90 долларов США процентов за пользование чужими денежными средствами и процентов, начиная с 10.12.2019 по день фактической оплаты, 3.367,48 евро предварительной оплаты, 13.335,22 евро неустойки и неустойки, начиная с 10.12.2019 по дату фактической оплаты по ставке 1% за каждый день просрочки, 390,11 евро законных процентов, 390,11 евро денежных средств в качестве коммерческого кредита. 2 Арбитражный суд Московского округа постановлением от 02.11.2020 решение от 28.01.2020 и постановление Девятого арбитражного апелляционного суда от 20.08.2020 оставил без изменения. В кассационной жалобе акционерное общество просит об отмене судебных актов, ссылаясь на неправомерное одностороннее изменение исполнения обязательства и рассмотрение незаявленного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Одностороннего изменения истцом назначения платежа не установлено судами. Исследовав исполнение обязательств по спецификациям № 1, 2 к договору поставки от 04.09.2019 № ВГХ/09-2018, в отношении которых заявлен иск, суды установили излишне уплаченную сумму и недопоставку товара на полученную сумму предварительной оплаты, поэтому обязали ответчика возвратить неосновательно удерживаемые денежные средства (статьи 487, 1102 Гражданского кодекса Российской Федерации) и применили договорную ответственность за недопоставку, плату за пользование денежными средствами (статья 317.1 Гражданского кодекса) и плату за пользование согласованным коммерчески кредитом (статья 823 Гражданского кодекса). Довод о рассмотрении незаявленного требования о неосновательном обогащении опровергается полномочиями суда на применение к заявленным требованиям надлежащих норм права, на что правильно указал окружной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«ВГХ Виктория Гартен Хюттениндустрибедарф»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