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10.01.2020, оставленным без изменения постановлением Десятого арбитражного апелляционного суда от 03.06.2020 и постановлением Арбитражного суда Московского округа от 07.10.2020, в удовлетворении иска отказано. В кассационной жалобе общество «ГРИН» просит об отмене судебных актов, ссылаясь на недоказанность ответчиком наличия договорных отношений и факта поставки.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у спорной суммы признаков неосновательного обогащения (статья 1102 Гражданского кодекса Российской Федерации), исходя из того, что представленные доказательства подтверждают ее перечисление за поставленный в рамках договора от 03.07.2018 № 6906-Ю-ДЗ товар.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