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«Медицинский центр «Давинчи» в лице ФИО1 и ФИО2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ФИО3 о взыскании 14 334 188 рублей 10 копеек убытков. Решением Арбитражного суда Ростовской области от 09.06.2020, оставленным без изменения постановлением Пятнадцатого арбитражного апелляционного суда от 11.08.2020 и постановлением Арбитражного суда Северо- Кавказского округа от 01.12.2020,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Ростовской области от 09.06.2020, постановление Пятнадцатого арбитражного апелляционного суда от 11.08.2020 и постановление Арбитражного суда Северо- Кавказского округа от 01.12.2020 по делу № А53-46205/2019 восстановить. Судья Верховного Суда Российской Федерации Н.С. Чучунова Суд: Верховный Суд РФ (подробнее) Ответчики: ООО "МЕДИЦИНСКИЙ ЦЕНТР "ДАВИНЧИ" (подробнее) Судьи дела: Чучунова Н.С. (судья) (подробнее) Последние документы по делу: Определение от 9 апреля 2021 г. по делу № А53-46205/2019 Определение от 15 февраля 2021 г. по делу № А53-46205/2019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