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от 17.03.2020, оставленным без изменения постановлением Первого арбитражного апелляционного суда от 20.07.2020, взыскано 427 000 рублей убытков и 11 734 рубля 40 копеек расходов, связанных с проведением экспертиз. Арбитражный суд Волго-Вятского округа постановлением от 09.11.2020 решение от 17.03.2020 и постановление Первого арбитражного апелляционного суда от 20.07.2020 оставил без изменения. 2 В кассационной жалобе предприниматель просит об отмене судебных актов, ссылаясь на нарушения в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в соответствии с требованиями статьи 71 Арбитражного процессуального кодекса Российской Федерации исследованы и оценены представленные доказательства, включающие заключения экспертиз, на основании которых определено лицо, виновное в причинении убытков. Оценка доказательств, с которой не согласен заявитель, является компетенцией судов первой и апелляционной инстанций и не входит в круг обстоятельств, принимаемых в качестве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Зайцеву Е.М.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