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24.10.2019, оставленным без изменения постановлением Первого арбитражного апелляционного суда от 11.06.2020 и постановлением Арбитражного суда Волго-Вятского округа от 13.10.2020,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принимая во внимание обстоятельства, установленные вступившими в законную силу судебными актами по делам № А43-27960/2016, № А43-31176/2016, руководствуясь статьями 15, 195, 196, 200, 1064, 1069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первой и апелляционной инстанций пришли к выводу об отсутствии оснований для удовлетворения иска, исходя из недоказанности истцом совокупности условий, необходимых для взыскания с ответчиков убытков, и пропуска им срока исковой давности, о чем заявлено ответчиками. С указанными выводами впоследствии согласился суд округа. Доводы кассационной жалобы сводятся к изложению обстоятельств дела, которые были предметом исследования и оценки судов. При установленных судами фактических обстоятельствах дела доводы заявителя не свидетельствуют о допущенных судами нарушениях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