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13.02.2020, оставленным без изменения постановлением Восемнадцатого арбитражного 2 апелляционного суда от 19.06.2020, оспариваемое постановление по делу об административном правонарушении признано незаконным и отменено в связи с установленной в ходе рассмотрения дела малозначительностью правонарушения, суд ограничился устным замечанием. Постановлением Арбитражного суда Уральского округа от 27.10.2020 указанные судебные акты оставлены без изменения. В жалобе антимонопольный орган ссылается на то, что совершенное правонарушение не может быть квалифицировано в качестве малозначительного, просит принятые по делу судебные акты отменить, в удовлетворении требований отказать. При изучении доводов жалобы и обжалуемых судебных актов оснований для отмены судебных актов не установлено.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нарушении учреждением порядка расторжения контракта в случае одностороннего отказа от его исполнения. Оценив представленные доказательства, суды пришли к выводу о наличии в действиях учреждения состава правонарушения, ответственность за которое предусмотрена частью 6 статьи 7.32 Кодекса Российской Федерации об административных правонарушениях, однако, принимая во внимание обстоятельства совершения правонарушения, суд первой инстанции в рассматриваемом случае счел возможным применить статью 2.9 Кодекса Российской Федерации об административных правонарушениях. Малозначительность административного правонарушения является категорией оценочной и определяется судом в каждом конкретном случае, применительно ко всем обстоятельствам дела. Судом первой инстанции, 3 исследовавшим собранные по делу доказательства, установлены основания для применения указанной правовой нормы. Оснований для переоценки доказательств и установления иных фактических обстоятельств, исходя из доводов жалобы, не имеется. Антимонопольный орган в кассационной жалобе указывает, что неправомерные действия учреждения как заказчика в виде нарушения порядка расторжения контракта имеют неблагоприятные последствия для исполнителя в связи с включением его в реестр недобросовестных поставщиков, однако данное обстоятельство исследовано судом первой инстанции и отклонено, поскольку даже после восстановления прав исполнителя в виде признания судом незаконным одностороннего отказа заказчика от исполнения контракта, контракт остался неисполненным с обеих сторон. Указанные обстоятельства в жалобе антимонопольным органом не опровергнуты. Доводы жалобы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