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Еркова Любовь Алексеевна обратилась в суд с заявлением о включении в реестр требований кредиторов должника требований в размере 1 400 000 рублей Определением Арбитражного суда города Москвы от 24.10.2019, оставленным без изменения постановлениями Девятого арбитражного апелляционного суда от 20.05.2020 и Арбитражного суда Московского округа от 14.10.2020,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71, 100 и 183.26 Федерального закона от 26.10.2002 № 127-ФЗ «О несостоятельности (банкротстве)», статей 9 и 32.8 Закона Российской Федерации от 27.11.1992 № 4015-1 «Об организации страхового дела в Российской Федерации», исходили из того, что обязательства должника по договору страхования прекратились в силу специальной нормы закона, а не оговоренного сторонами события – признания его банкротом, приняли во внимание факт обращения заявителя за досрочным возвратом денежных средств после прекращения действия названного договора, в связи с чем пришли к выводу об отсутствии оснований для включения заявленного требования в реестр.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Моисееву Виктору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