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25.12.2019, оставленным без изменения постановлением Тринадцатого арбитражного апелляционного суда от 05.06.2020 и постановлением Арбитражного суда Северо-Западного округа от 15.10.2020, в удовлетворении иска отказано. В кассационной жалобе общество «Эберспехер Выхлопные Системы РУС» просит об отмене судебных актов, ссылаясь на отсутствие причинно- следственной связи между исполнением им договора и убытками ответчика, принятыми к зачету.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рассмотрели требование о взыскании задолженности за поставленные автокомпоненты независимо от имевшего место заявления о зачете. Суды установили, что в подтверждение гарантийных ремонтов автомобилей в связи с дефектами поставленных истцом автокомпонентов ответчик представил акты приемки-передачи выполненных работ, заказ-наряды на выполненные работы, дефектовочные ведомости. В силу пункта 2 статьи 476 Гражданского кодекса Российской Федерации обязанность доказывания возникших в пределах гарантийного срока недостатков возложена на продавца (истца) и суды признали недоказанность иной причины недостатков, поэтому признали право ответчика на состоявшийся зачет.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«Эберспехер Выхлопные Системы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