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23.01.2020, оставленным без изменения постановлением Семнадцатого арбитражного апелляционного суда от 18.06.2020, иск удовлетворен. Арбитражный суд Уральского округа постановлением от 12.10.2020 решение от 23.01.2020 и постановление Семнадцатого арбитражного апелляционного суда от 18.06.2020 оставил без изменения. В кассационной жалобе банк просит об отмене судебных актов апелляционного и окружного судов, ссылаясь на удержание спорной денежной суммы в рамках условий заключенного сторонами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обстоятельства спора, установили, что действия клиента по закрытию счета соответствуют статье 859 Гражданского кодекса Российской Федерации. Поскольку стандартные действия банка по переводу остатка денежных средств при закрытии счета истца не требуют каких-либо затрат и являются обязанностью банка в силу закона, удержанная за их осуществление комиссия правомерно взыскана на основании статьи 1102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"ЭЛЬДОМ" (подробнее) Ответчики: ПАО "Уральский банк реконструкции и развития" (подробнее) Судьи дела: Ксенофонтова 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