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обратился в суд с заявлением о признании должника несостоятельным (банкротом). Определением Арбитражного суда Московской области от 22.07.2020, оставленным без изменения постановлением Арбитражного суда Московского округа от 22.10.2020, между комитетом и должником утверждено мировое соглашение, прекращено производство по заявлению комитета о признании должника несостоятельным (банкротом).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 и прекращая производство по заявлению комитета, суд первой инстанции, руководствуясь положениями пункта 2 статьи 150 Арбитражного процессуального кодекса Российской Федерации, статьи 150 Федерального закона от 26.10.2002 № 127-ФЗ «О несостоятельности (банкротстве)», исходил из соответствия условий соглашения требованиям законодательства, указав, что его условия не нарушают права и законные интересы должника и его кредиторов. Суд округа поддержал выводы суда первой инстанции, обоснованно указав заявителю на его право обратиться в суд с заявлением о расторжении мирового соглашения в случае его неисполнимости. Выводы судов первой инстанции и округа соответствуют нормам права, оснований для переоценки выводов судов по доводам жалобы не имеется. Нарушений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имущественных и земельных отношений Администрации городского округа Подольск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