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30.12.2019, оставленным без изменения постановлением Пятнадцатого арбитражного апелляционного суда от 29.05.2020 и постановлением Арбитражного суда Северо-Кавказского округа от 15.10.2020, иск удовлетворен частично. В кассационной жалобе общество «Тандер» просит об отмене судебных актов, ссылаясь на отсутствие основания для уменьшения удержанной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влияющих на размер удержанного ответчиком (покупателем) штрафа (статья 333 Гражданского кодекса Российской Федерации) в пределах данного дела, является компетенцией судов, рассматривающих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«Тандер»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Сармат (подробнее) Ответчики: АО "ТАНДЕР"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