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10.01.2020, оставленным без изменения постановлением Девятого арбитражного апелляционного суда от 23.07.2020, в удовлетворении иска отказано. Арбитражный суд Московского округа постановлением от 18.11.2020 решение от 10.01.2020 и постановление Девятого арбитражного апелляционного суда от 23.07.2020 оставил без изменения. В кассационной жалобе общество «ФСК ЕЭС» просит об отмене судебных актов, ссылаясь на отсутствие основания к отказу в платеже вследствие установленного нарушения третьим лицом условий основного обязательства и предъявление требования в соответствии с условиями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Осуществление гражданских прав с нарушением законных пределов в силу сложившейся судебной практики является основанием к защите прав бенефициара. Установив недобросовестную реализацию прав по банковской гарантии от 10.01.2013 № 00048/15/52-12, суды отказали в иске на основании и в соответствии со статьей 10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«ФСК ЕЭС»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"ФСК ЕЭС" (подробнее) Ответчики: ПАО Банк ВТБ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