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25.02.2020, оставленным без изменения постановлением Четвертого арбитражного апелляционного суда от 10.08.2020, иск удовлетворен. Арбитражный суд Восточно-Сибирского округа постановлением от 06.11.2020 решение от 25.02.2020 и постановление Четвертого арбитражного апелляционного суда от 10.08.2020 оставил без изменения. В кассационной жалобе банк просит об отмене судебных актов, ссылаясь на совершение оспариваемых действий в рамках закона 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Руководствуясь статьями 845 , 858 Гражданского кодекса Российской Федерации, статьей 7 Федерального закона от 07.08.2001 № 115-ФЗ «О противодействии легализации (отмыванию) доходов, полученных преступным путем, и финансированию терроризма», суды установили отсутствие основания для отнесения расчетных операций к сомнительным. Данная банком в жалобе иная оценка собственных действий противоречит установленным обстоятельствам спорных правоотношений.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"Мега Транс" (подробнее) Ответчики: ПАО "Уральский банк реконструкции и развития"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