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Нижегородской области от 06.03.2020, оставленным без изменения постановлением Первого арбитражного апелляционного суда от 26.06.2020 и постановлением Арбитражного суда Волго-Вятского округа от 14.10.2020, иск удовлетворен. В кассационной жалобе завод просит об отмене судебных актов вследствие отсутствия условий для взыскания убытков.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Порядок определения расходов, подлежащих взысканию с поставщика (завода) в связи с недопоставкой автокомпонентов, согласован сторонами в договоре от 20.09.2017 № 901022, в соответствии с которым произведен расчет взыскиваемой суммы. Учитывая определение расходов расчетным путем, их размер не подлежал доказыванию в имевшем место случае недопоставки. Реализация истцом права на применение договорной ответственности не может быть отнесена к недобросовестным действиям.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«Завод Автокомпонент»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АО "Автоваз" (подробнее) Ответчики: ООО "Завод Автокомпонент" (подробнее) Иные лица: ПЕРВЫЙ АРБИТРАЖНЫЙ АПЕЛЛЯЦИОННЫЙ СУД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