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Нижегородской области от 02.03.2020, оставленным без изменения постановлением Первого арбитражного апелляционного суда от 25.06.2020 и постановлением Арбитражного суда Волго-Вятского округа от 14.10.2020, иск удовлетворен. В кассационной жалобе завод просит об отмене судебных актов вследствие отсутствия условий для взыскания убытков.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Порядок определения расходов, подлежащих взысканию с поставщика (завода) в связи с недопоставкой автокомпонентов, согласован сторонами в договоре от 20.09.2017 № 901022, в соответствии с которым произведен расчет взыскиваемой суммы. Учитывая определение расходов расчетным путем, их размер не подлежал доказыванию в имевшем место случае недопоставки. Реализация истцом права на применение договорной ответственности не может быть отнесена к недобросовестным действиям.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«Завод Автокомпонент»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АО "Автоваз" (подробнее) Ответчики: ООО "Завод Автокомпонент" (подробнее) Иные лица: Арбитражный суд Самарской области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