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27.02.2020, оставленным без изменения постановлением Первого арбитражного апелляционного суда от 18.06.2020 и постановлением Арбитражного суда Волго-Вятского округа от 12.10.2020,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