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15 февраля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города Москвы от 12.03.2020, оставленным без изменения постановлением Девятого арбитражного апелляционного суда от 15.07.2020 и постановлением Арбитражного суда Московского округа от 12.11.2020, иск удовлетворен. В кассационной жалобе общество «Агротехмаркет» просит об отмене судебных актов, ссылаясь на неправильные выводы судов в отношении условий для взыскания убытков и нарушение подсудности. В силу части 1 статьи 291.11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Таких оснований в связи с доводами жалобы не усматривается. Суды установили ответственность ответчика как собственника и арендодателя за убытки, возникшие при эксплуатации имущества, ненадлежащее осуществление которой состоит в причинно-следственной связи с убытками истца как арендатора (статьи 15 , 393 Гражданского кодекса Российской Федерации). Вопросы подсудности не составляют оснований для кассационного пересмотра судебных актов. Руководствуясь статьями 291.6 , 291.8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обществу с ограниченной ответственностью «Агротехмаркет»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Н.А. Ксенофонтова Суд: Верховный Суд РФ (подробнее) Истцы: ООО "Фландерр" (подробнее) Ответчики: ООО "АгроТехМаркет" (подробнее) Иные лица: ГБУВ МО Территориальное ветеринарное управление №3 (подробнее) Судьи дела: Ксенофонтова Н.А. (судья) (подробнее) Судебная практика по: Упущенная выгода Судебная практика по применению норм ст. 15, 393 ГК РФ Взыскание убытков Судебная практика по применению нормы ст. 393 ГК РФ Возмещение убытков Судебная практика по применению нормы ст. 15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