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30.12.2019, оставленным без изменения постановлением Девятого арбитражного апелляционного суда от 06.07.2020 и постановлением Арбитражного суда Московского округа от 14.10.2020, иск удовлетворен. В кассационной жалобе общество «Компания КВАЗАР» просит о пересмотре судебных актов, указывая на отсутствие у истца права требовать возврата спорной суммы при действующем договоре поставки.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установлено, что в соответствии с полномочиями, предусмотренными статьей 475 Гражданского кодекса Российской Федерации, истец обращался к ответчику с требованием о замене некачественного товара и рассматриваемый иск предъявлен в связи с неисполнением этого требования.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«Компания КВАЗАР»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 РОСТСПЕЦПРОЕКТ" (подробнее) Ответчики: ООО "КОМПАНИЯ КВАЗАР"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