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недействительными сделок должника, в том числе действий последнего по отчуждению ФИО3 10% доли в уставном капитале общества с ограниченной ответственностью «Механический завод «Уралец» (далее – завод), оформленной решением от 28.05.2008 № 2, действий должника по отчуждению ФИО4 10% доли в уставном капитале завода, оформленной решением от 28.05.2008 № 2, договора купли-продажи 80% доли в уставном капитале завода от 30.01.2010 № 181128, подписанного между должником и ФИО5, договора купли-продажи 10% доли в уставном капитале завода от 30.01.2010 № 181129, подписанного между ФИО3 и ФИО5, договора купли-продажи 10% доли в уставном капитале завода от 30.01.2010 № 181120, подписанного между ФИО4 и ФИО5, о применении последствий недействительности сделки в виде восстановления права ФИО1 на 100% доли в уставном капитале завода. Определением Арбитражного суда Свердловской области от 24.09.2019 заявление удовлетворено. Постановлением Семнадцатого арбитражного апелляционного суда от 16.12.2019, оставленным без изменения постановлением Арбитражного суда Уральского округа от 22.05.2020,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статьями 181 , 195 , 199 Гражданского кодекса Российской Федерации,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применительно к фактическим обстоятельствам дела обоснованно указал на истечение трёхлетнего срока исковой давности, что являлось самостоятельным основанием для отказа в удовлетворении заявленных требований.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"ЭнергосбыТ Плюс" (подробнее) ООО "Магистраль" (подробнее) ООО "Монолит" (подробнее) ООО "Уралдорстрой" (подробнее) ООО "Эко-групп" (подробнее) ПАО "Акционерный коммерческий банк содействия коммерции и бизнесу" (подробнее) ПАО "Сбербанк России" (подробнее) Ответчики: ООО "КАСЛИНСКИЙ ЧУГУНОЛИТЕЙНЫЙ ДЕМИДОВСКИЙ ЗАВОД" (подробнее) Иные лица: ИП Рохлин Евгений Борисович (подробнее) Межрайонная инспекция Федеральной налоговой службы №26 по Свердловской области (подробнее) Межрайонная ИФНС РФ №14 Свердловской обл. (подробнее) ООО Уральский инновационный коммерческий банк "Уралинкомбанк" (подробнее) Судьи дела: Корнелюк Е.С. (судья) (подробнее) Последние документы по делу: Определение от 15 февраля 2021 г. по делу № А60-55234/2015 Определение от 21 сентября 2020 г. по делу № А60-55234/2015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