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22.04.2020, оставленным без изменения постановлением Четырнадцатого арбитражного апелляционного суда от 23.07.2020 и постановлением Арбитражного суда Северо-Западного округа от 13.10.2020, заявление о пересмотре по вновь открывшимся обстоятельствам решения от 22.04.2013 возвращено. В кассационной жалобе заявитель просит об отмене судебных актов, ссылаясь на то, что без пересмотра решения невозможно исключение взысканной суммы из реестра требований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отношении рассматриваемого дела, возникшего об исполнении гражданско-правового обязательства по поставке, прекращение общества «Тверьметалл» означает прекращение производства по делу (часть 5 пункта 1 статьи 150 Арбитражного процессуального кодекса Российской Федерации), исключающее его дальнейшее движение в связи с любым поданным заявлением. Цель подачи заявления о пересмотре решения от 22.04.2013 (исключение спорной суммы из реестра требований общества «Тверьметалл») достигнута в рамках дела № А66-6181/2013.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«Тверьметалл»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"ПромСтальТорг" (подробнее) Ответчики: ООО "Тверьметалл"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