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27.03.2020, оставленным без изменения постановлением Девятого арбитражного апелляционного суда от 30.06.2020, иску удовлетворен в части расторжения договора купли-продажи автомобиля от 14.04.2017 № D10026550 и взыскания 3 615 000 рублей стоимости автомобиля, 26 741 рубля 10 копеек процентов по состоянию на 05.09.2017 с последующим их начислением на сумму основного долга по ключевой ставке Центрального банка Российской Федерации, действующей в соответствующие периоды, начиная с 06.09.2017 по день фактической оплаты. Арбитражный суд Московского округа постановлением от 13.10.2020 решение от 27.03.2020 и постановление Девятого арбитражного апелляционного суда от 30.06.2020 оставил без изменения. В кассационной жалобе общество «Рольф» просит об отмене указанных судебных актов, ссылаясь на недоказанность недостатков автомобиля, ответственность за которые несет продавец, неосновательное принятие заключения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Суды установили существенное нарушение договора купли-продажи от 14.04.2017 № D10026550, связанное с качеством проданного автомобиля и правомерную в связи с ним реализацию истцом (покупателем) полномочий, предусмотренных статьей 475 Гражданского кодекса Российской Федерации. Доводы жалобы о недоказанности существенных нарушений условий договора, необоснованности выводов экспертов были предметом рассмотрения судов апелляционной и кассационной инстанций и мотивированно отклонены.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«Рольф»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"КРЕАГЕЙМЗ" (подробнее) Ответчики: ООО "Рольф" (подробнее) Иные лица: ООО Мосглавэкспертиза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