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14.05.2020, оставленным без изменения постановлением Третьего арбитражного апелляционного суда от 09.07.2020, общество привлечено к административной ответственности по части 4 статьи 14.1 Кодекса Российской Федерации об 2 административных правонарушениях и ему назначено наказание в виде штрафа в размере 100 000 рублей. Постановлением Арбитражного суда Восточно-Сибирского округа от 21.10.2020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ссылаясь на допущенные, по его мнению, судом существенные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послужили выявленные административным органом факты, свидетельствующие о том, что общество осуществляет фармацевтическую деятельность в сфере обращения лекарственных средств для ветеринарного применения с грубым нарушением условий, предусмотренных лицензией.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Поскольку заявитель привлечен к административной ответственности за несоблюдение Правил хранения лекарственных средств для ветеринарного применения, утвержденных приказом Минсельхоза РФ от 15.04.2015 № 145 (действующего в спорный период), что является грубым нарушением условий лицензии, суды пришли к выводу о квалификация совершенного деяния по части 4 статьи 14.1 Кодекса Российской Федерации об административных правонарушениях. 3 Доказательств того, что обществом были приняты все зависящие от него меры по соблюдению требований правил и норм, за нарушение которых предусмотрена административная ответственность, судами не установлено. Ссылаясь на составление административным органом одного акта проверки и протокола об административном правонарушении в отношении допущенных нарушений в нескольких местах осуществления лицензируемого вида деятельности, выявленных в рамках проведения одной плановой выездной проверки, должностными лицами одного и того же уполномоченного органа в один и тот же день в отношении одного субъекта проверки, общество не указывает, чем нарушены его права и законные интересы привлечением за указанные нарушения один раз. Доводов о том, что общество заблуждалось относительно вмененного правонарушения, было лишено возможности представлять доказательства и возражения при сформулированном в протоколе событии правонарушения и указании мест его совершения, в жалобе не приведено. Иные доводы направлены на переоценку фактических обстоятельств дела, установленных судами по имеющимся в деле доказательствам, в том числе относительно хранения обществом биологических лекарственных препаратов на внутренней стороне двери холодильника, выводы судов они не опровергают. Обстоятельств, свидетельствующих о том, что ответственность за выявленные нарушения устранена, судами не установлено, в жалобе таких обстоятельств не приведено.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