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29.06.2020, оставленным без изменения постановлением Девятого арбитражного апелляционного суда от 31.08.2020, в удовлетворении заявленного требования отказано. Постановлением Арбитражного суда Московского округа от 13.11.2020 указанные судебные акты оставлены без изменения. 2 В кассационной жалобе, поступившей в Верховный Суд Российской Федерации, общество просит отменить принятые по делу судебные акты,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в уточненной декларации при исчислении налога на имущество по кадастровой стоимости налоговая база объекта недвижимого имущества определена обществом самостоятельно расчетным путем. Оценив представленные доказательства, руководствуясь положениями Налогового кодекса Российской Федерации, Федерального закона от 29.07.1998 № 135-ФЗ «Об оценочной деятельности в Российской Федерации», суды отказали в удовлетворении заявленных требований, признав, что применение для целей налогообложения стоимости, отличной от кадастровой стоимости, содержащейся в государственном реестре, действующим законодательством не предусмотрено.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 в том числе, с учетом того, что процедура оспаривания 3 кадастровой стоимости спорного объекта недвижимости по основанию ее несоответствия рыночной стоимости реализована обществом, на ее основании в кадастр внесены спорные сведения.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