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12.03.2020, оставленным без изменения постановлением Двенадцатого арбитражного апелляционного суда от 14.07.2020, оспариваемые постановления изменены в части назначения административного наказания, штраф снижен до 150 000 рублей по каждому постановлению, в удовлетворении остальной части требований отказано. Постановлением Арбитражного суда Поволжского округа от 13.10.2020 указанные судебные акты оставлены без изменения. Общество просит состоявшиеся по делу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транспортных средств для осуществления регулярных перевозок пассажиров в отсутствие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общества состава правонарушения, 3 ответственность за совершение которого предусмотрена частью 4 статьи 11.33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оснований для признания правонарушения малозначительным не выявлено. Приведенные в жалобе доводы получили оценку с учетом того, что карта маршрута является обязательным документом, подтверждающим законное право на осуществление перевозок по соответствующему маршруту, и только при ее наличии лицо имеет право использовать транспортное средство для осуществления регулярных перевозок пассажиров по определенному маршруту,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