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05.03.2020, оставленным без изменения постановлением Четвертого арбитражного апелляционного суда от 25.06.2020, иск удовлетворен. 2 Постановлением Арбитражного суда Восточно-Сибирского округа от 19.10.2020 указанные судебные акты оставлены без изменения. Пенсионный фонд обратился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Федерального закона от 12.01.1996 № 8-ФЗ «О погребении и похоронном деле», Федерального закона от 27.07.2010 № 210-ФЗ «Об организации предоставления государственных и муниципальных услуг», суды удовлетворили иск, признав доказанным факт несения предприятием расходов на ритуальные услуги, подлежащих возмещению, в том числе, за счет средств Пенсионного фонда в обжалуемой части. Доводы кассационной жалобы были предметом исследования судов и получили исчерпывающую правовую оценку, в том числе, с учетом определенных законом обстоятельств, установленных судами, в целях обеспечения восстановления нарушенного права предприятия, не согласиться с которой оснований не имеется.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