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06.02.2020, оставленным без изменения постановлением Девятого арбитражного апелляционного суда от 25.06.2020, в удовлетворении заявленного требования отказано. Постановлением Арбитражного суда Московского округа от 20.10.2020 указанные судебные акты оставлены без изменения. 2 Общество просит отменить обжалуемые судебные акты, считая их принятыми с существенным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Отказывая в удовлетворении требования и признавая обоснованными выводы налогового органа, суды руководствовались положениями статей 169, 171, 172, 252 Налогового кодекса Российской Федерации, а также правовой позицией,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 и исходили из того, что налоговым органом представлены доказательства, свидетельствующие о недостоверности сведений в представленных документах и отсутствии реальных хозяйственных операций с заявленными контрагентами, направленности действий налогоплательщика на получение необоснованной налоговой выгоды. Доводы кассационной жалобы были предметом исследования судов и получили исчерпывающую правовую оценку применительно к установленным 3 обстоятельствам недоказанности факта реальности операций и их возмездности,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