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«Строительно- монтажное управление № 36» 1 369 200 рублей задолженности и 525 000 рублей убытков. Решением Арбитражного суда города Москвы от 04.09.2019 иск удовлетворен в части взыскания 1 369 200 рублей задолженности, в удовлетворении иска в остальной части отказано. Постановлением Девятого арбитражного апелляционного суда от 11.12.2019 решение суда первой инстанции оставлено без изменения. Арбитражный суд Московского округа постановлением от 23.03.2020 указанные судебные акты оставил без изменения.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оказания истцом ответчику транспортных услуг и услуг спецтехники, руководствуясь статьями 433 , 438 , 779 , 781 Гражданского кодекса Российской Федерации, суды пришли к выводу о наличии оснований для взыскания задолженности. Отказывая в иске в части взыскания убытков, суды руководствовались положениями статей 15 , 393 Гражданского кодекса Российской Федерации и исходили из недоказанности противоправного поведения ответчика, его вины и наличия причинно-следственной связи между противоправным поведением ответчика и понесенными истцом убытками.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"Строительно-монтажное управление №36"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