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09.02.2021 в электронном виде с ходатайством о восстановлении срока. Пропуск срока предприятие обосновывает получением 09.02.2021 сведений о возврате Судом в связи с неприложением документа об уплате государственной пошлины первоначально своевременно поданной кассационной жалобы. В силу части 1 статьи 291.2 Арбитражного процессуального кодекса Российской Федерации кассационная жалоба подается в срок, не превышающий двух месяцев с момента вступления в законную силу последнего обжалуемого судебного акта. Соблюдение установленных требований к подаче кассационной жалобы возложено на подателя. Предприятие подало данную надлежаще оформленную кассационную жалобу за пределами указанного срока, подтверждением чему является приложение к ней документа об уплате государственной пошлины, 2 оформленного по истечении срока на обжалование (платежного поручения от 09.02.2021 № 76). Таким образом, предприятие пропустило срок на обжалование по зависящей от него причине, что согласно части 2 статьи 291.2 Арбитражного процессуального кодекса Российской Федерации не создает основания для восстановления срока. Возвращенная Судом жалоба не отвечала установленным требованиям, поэтому ее подача в пределах течения срока на обжалование не являлась надлежащей и не влияет на восстановление срока.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города Апатиты «Апатитская электросетевая компания» в восстановлении срока подачи кассационной жалобы на решение Арбитражного суда Мурманской области от 21.05.2020 по делу № А42-12302/2019, постановление Тринадцатого арбитражного апелляционного суда от 22.09.2020 и постановление Арбитражного суда Северо-Западного округа от 03.12.2020 по тому же делу. Кассационную жалобу муниципального унитарного предприятия города Апатиты «Апатитская электросетевая компания»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