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«Спец1» обратилось в Арбитражный суд Свердловской области с иском о взыскании с публичного акционерного общества «Уральский банк реконструкции и развития» 178 861 рубля 78 копеек неосновательного обогащения. К участию в деле в качестве третьего лица, не заявляющего самостоятельных требований относительно предмета спора, привлечена Майер Татьяна Геннадьевна. Решением Арбитражного суда Свердловской области от 23.01.2020 иск удовлетворен. Определением суда от 23.01.2020 произведена замена истца (взыскателя) – ООО «Спец1» на Майер Татьяну Геннадьевну. Постановлением Семнадцатого арбитражного апелляционного суда от 30.06.2020 решение суда первой инстанции оставлено без изменения Арбитражный суд Уральского округа постановлением от 23.10.2020 указанные судебные акты оставил без изменения. 2 Публичное акционерное общество «Уральский банк реконструкции и развития»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845, 851, 859, 1102 Гражданского кодекса Российской Федерации, суды пришли к выводу о возникновении на стороне ответчика неосновательного обогащения.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