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06.03.2020, оставленным без изменения постановлением Восемнадцатого арбитражного апелляционного суда от 26.06.2020, в иске отказано. Постановлением Арбитражного суда Уральского округа от 14.10.2020 указанные судебные акты оставлены без изменения. 2 Истец обратился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330, 431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в иске отказали, установив период просрочки исполнения ответчиком обязательства по поставке товара, и признав факт оплаты ответчиком неустойки с учетом определенного судом размера. Доводы кассационной жалобы были предметом исследования судов и получили исчерпывающую правовую оценку с учетом толкования судами условий контракта применительно к моменту исполнения ответчиком своих обязательств,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