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22.05.2020, оставленным без изменения постановлением Седьмого арбитражного апелляционного суда от 04.08.2020, иск удовлетворен частично, с общества в пользу учреждения взыскано 5 326 804,42 рубля неустойки, начисленной за 2 период с 29.03.2018 по 17.12.2018, в удовлетворении остальной части иска отказано. Постановлением Арбитражного суда Западно-Сибирского округа от 05.11.2020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изменить, принять новый судебный акт о взыскании с общества в пользу учреждения 391 872, 4 рубля неустойки, в остальной части в иске отказать.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330, 401, 404, 708, 716, 763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признав факт просрочки обществом (подрядчиком) сдачи работ и скорректировав размер неустойки. Доводы кассационной жалобы были предметом исследования судов и получили исчерпывающую правовую оценку с учетом установленных судом обстоятельств, свидетельствующих о недоказанности вина учреждения (заказчика) в допущенной подрядчиком просрочке,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