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17.06.2020, оставленным без изменений постановлением Девятого арбитражного апелляционного суда от 01.10.2020, в удовлетворении требования отказано. 2 Постановлением Арбитражного суда Московского округа от 10.12.2020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осуществления обществом строительства с нарушением требований утвержденной проектной документации. Частью 1 статьи 9.4 Кодекса Российской Федерации об административных правонарушениях установлена ответственность за нарушение требований технических регламентов, проектной документации,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проектировании, строительстве, реконструкции или капитальном ремонте объектов капитального строительства, в том числе при применении строительных материалов (изделий). Оценив представленные доказательства, руководствуясь положениями статьи 52, 54 Градостроительного кодекса Российской Федерации, Федерального закона от 30.12.2009 № 384-ФЗ «Технический регламент о безопасности зданий и сооружений»,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1 статьи 9.4 Кодекса Российской Федерации об административных правонарушениях. 3 Вина общества состоит в том, что им не были приняты все необходимые и достаточные меры для надлежащего исполнения обязательных требований при строительстве объекта капитального строительства. Судами проверен срок давности привлечения к административной ответственности (составляющий один год по данной категории дел за нарушение законодательства о градостроительной деятельности и техническом регулировании), наказание в виде штрафа назначено в пределах санкции нормы. Доводы жалобы были предметом исследования судов и получили исчерпывающую правовую оценку, в том числе, исходя из установленных обстоятельств, свидетельствующих о наличии оснований для проведения проверки, соблюдении порядка проведения проверки и привлечения к административной ответственности, не согласиться с которой, исходя из доводов жалобы,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