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арбитражный управляющий ФИО2 обратился в суд с заявлением о взыскании с должника в свою пользу фиксированного вознаграждения в сумме 72 000 рублей, процентов по вознаграждению в сумме 2 612 713 рублей 87 копеек, а также расходов, фактически понесенных в процедуре банкротства должника, в сумме 175 513 рублей 52 копейки. Определением Арбитражного суда Челябинской области от 21.05.2020, оставленным без изменения постановлениями Восемнадцатого арбитражного апелляционного суда от 16.07.2020 и Арбитражного суда Уральского округа от 03.11.2020, заявление удовлетворено частично. С должника в пользу арбитражного управляющего ФИО2 взыскано фиксированное вознаграждение в размере 72 000 рублей, расходы в деле о банкротстве в размере 175 513 рублей 52 копеек, проценты по вознаграждению конкурсного управляющего в размере 2 181 072 рублей 96 копеек. С должника в пользу ФИО1 (наследницы арбитражного управляющего ФИО3) взысканы проценты по вознаграждению конкурсного управляющего в размере 317 298 рублей 95 копеек; с должника в пользу конкурсного управляющего Скорохода Олега Николаевича взысканы проценты по вознаграждению конкурсного управляющего в размере 114 341 рубля 96 копеек. В кассационной жалобе, поданной в Верховный Суд Российской Федерации, заявитель просит изменить указанные судебные акты, взыскав в её пользу проценты по вознаграждению конкурсного управляющего в сумме 783 361 рубль 35 копеек.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статьями 20.3, 20.6, 59, 138, 142 Федерального закона от 26.10.2002 № 127-ФЗ «О несостоятельности (банкротстве)», пунктами 5, 8, 13.1 постановления Пленума Высшего Арбитражного Суда Российской Федерации от 25.12.2013 № 97 «О некоторых вопросах, связанных с вознаграждением арбитражного управляющего при банкротстве», учитывая объём, результат выполненных каждым из конкурсных управляющих работ и продолжительность их полномочий в период проведения торгов по продаже залогового имущества, пришли к выводу о том, что вклад ФИО2 в достижении цели процедуры банкротства существенно превышает вклад иных арбитражных управляющих, в связи с чем с учётом предоставленных дискреционных полномочий соответствующим образом распределили между ними проценты по вознаграждению.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Доводы, изложенные в жалобе, являлись предметом изучения судебных инстанций, получили надлежащую правовую оценку, отклонены как несостоятельные с подробным изложением мотивов отклонения.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АКБ "Инвестбанк" (подробнее) АО "УРАЛЬСКАЯ ТЕПЛОСЕТЕВАЯ КОМПАНИЯ" (подробнее) ГК АКБ "Инвестбанк" в лице "Агентство по страхованию вкладов" (подробнее) Инспекция Федеральной налоговой службы по Тракторозаводскому району г. Челябинска (подробнее) ООО "СвязьСтройСнаб" (подробнее) Ответчики: ООО "Кентекс" (подробнее) Иные лица: Некоммерческое партнерство "Саморегулируемая организация арбитражных управляющих "Меркурий" (подробнее) Некоммерческое партнёрство "Саморегулируемая организация арбитражных управляющих "Меркурий" (подробнее) НП "СРО АУ "Меркурий" (подробнее) НП "СРО АУ"Меркурий" (подробнее) Союз арбитражных управляющих "Саморегулируемая организация "Дело"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