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21.02.2020, оставленным без изменения постановлением Девятого арбитражного апелляционного суда от 09.07.2020, иск удовлетворен. Постановлением Арбитражного суда Московского округа от 20.10.2020 указанные судебные акты отменены, в удовлетворении иска отказано. Общество обратилось в Верховный Суд Российской Федерации с кассационной жалобой, в которой просит постановление суда округа отменить, считая его незаконным и необоснованным. 2 При изучении доводов жалобы и принятых по делу судебных актов оснований для удовлетворения жалобы не установлено. Отказывая в иске, суд округа руководствовался положениями статей 15, 339, 763, 1102 Гражданского кодекса Российской Федерации, статей 34,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статьи 38 Федерального закона от 21.11.2011 № 323-ФЗ «Об основах охраны здоровья граждан в Российской Федерации», и квалифицировал спорные правоотношения как возникшие из договорных обязательств, признав недоказанным право истца компенсировать свои расходы до расторжения контракта применительно к сохранению обязательственной связи сторон, а также с учетом отсутствия дополнительного соглашения на возмещение понесенных расходов после расторжения контракта. Доводы жалобы подлежат отклонению, в том числе, с учетом того, что спорная сумма не может быть признана убытками в отсутствие неправомерных и виновных действий ответчика.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