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февраля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Тамбовской области от 05.03.2020, оставленным без изменения постановлением Девятнадцатого арбитражного апелляционного суда от 23.07.2021, арбитражный управляющий привлечен к административной ответственности по части 3 статьи 14.13 Кодекса 2 Российской Федерации об административных правонарушениях и ему назначено административное наказание в виде предупреждения. Постановлением Арбитражного суда Центрального округа от 16.10.2020 указанные судебные акты оставлены без изменения. Арбитражный управляющий просит обжалуемые судебные акты отменить, считая их незаконными и необоснованными. При изучении доводов жалобы и принятых по делу судебных актов оснований для удовлетворения жалобы не установлено. Оценив представленные доказательства и установив факт несоблюдения арбитражным управляющим требований статей 20.3, пункта 2 статьи 143 Федерального закона от 26.10.2002 № 127-ФЗ «О несостоятельности (банкротстве)», суды пришли к выводу о наличии в действиях арбитражного управляющего состава правонарушения, ответственность за совершение которого предусмотрена частью 3 статьи 14.13 Кодекса Российской Федерации об административных правонарушениях. Процедура и срок давности привлечения к административной ответственности соблюдены, наказание назначено в виде предупреждения. Оснований для применения статьи 2.9 Кодекса Российской Федерации об административных правонарушениях и освобождения лица от ответственности в связи с малозначительностью правонарушения судами не установлено. Доводы жалобы о том, что суд первой инстанции изменил свое решение по существу в процедуре исправления описок, опечаток и арифметических ошибок, были предметом рассмотрения судов и получили исчерпывающую правовую оценку исходя из того, что определение арбитражного суда об исправлении опечатки не было обжаловано заявителем в установленном процессуальном порядке и вступило в законную силу.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3 исход дела и без устранения которых невозможны, в том числе, восстановление и защита нарушенных прав, свобод, законных интересов в сфере предпринимательской и иной экономической деятельности (часть 1 статьи 291.11 Арбитражного процессуального кодекса Российской Федерации). Таких оснований с учетом того, что факт наличия угрозы охраняемым законом общественным интересам проверен вышестоящими судами в процессе рассмотрения дела и признан доказанным, не установлено. Исходя из вышеизложенного,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имеется. На основании изложенного и руководствуясь статьями 291.1,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