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10.12.2020 направило в Верховный Суд Российской Федерации кассационную жалобу на указанные судебные акты и одновременно заявило ходатайство о восстановлении пропущенного срока на ее подачу.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Принимая во внимание положения части 3 статьи 291.5 Арбитражного процессуального кодекса Российской Федерации, согласно которым возвращение кассационной жалобы не препятствует повторному обращению с кассационной жалобой после устранения обстоятельств, послуживших основанием для ее возвращения, учитывая своевременное направление первоначальной жалобы, а также оперативное устранение заявителем причин, послуживших основанием для возврата первоначально поданной жалобы, в целях обеспечения процессуальных гарантий, вытекающих из права на судебную защиту, включающего и право на обжалование судебных постановлений, ходатайство о восстановлении срока подлежит удовлетворению, пропущенный срок подлежит восстановлению.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«Группа копаний «ЕКС» о восстановлении пропущенного срока удовлетворить, срок на подачу кассационной жалобы восстановить. Судья Верховного Суда А.Г. ПершутовРоссийской Федерации Суд: Верховный Суд РФ (подробнее) Истцы: АО "Группа компаний "ЕКС" (подробнее) Ответчики: Объединение административно-технических инспекций города Москвы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