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30.10.2019 (с учетом определения об исправлении арифметической ошибки от 30.10.2019), в удовлетворении первоначального иска отказано, встречный иск удовлетворен в части взыскания задолженности за февраль 2019 года в сумме 242 917,05 рублей, неустойки за просрочку оплаты услуг в сумме 10315,88 рублей и судебных расходов по уплате государственной пошлины 6829 рублей; в остальной части в удовлетворении встречного иска отказано. Постановлением Девятнадцатого арбитражного апелляционного суда от 23.03.2020 решение суда первой инстанции изменено – первоначальный иск удовлетворен в части взыскания с предпринимателя 85 749,72 рублей штрафа за неисполнение условий государственного контракта; встречный иск удовлетворен в части взыскания с управления 356 278,34 рублей основного долга, 14786,09 рублей неустойки и 1000 рублей штрафа, а также 10182,77 рублей в возмещение расходов по уплате государственной пошлины при подаче встречного иска; в остальной части в удовлетворении первоначального и встречного иска отказано; в результате зачета требований с управления в пользу предпринимателя взыскано 296 497,48 рублей; распределены расходы по уплате государственной пошлины. Постановлением Арбитражного суда Центрального округа от 13.10.2020 постановление суда апелляционной инстанции оставлено без изменения. Предприниматель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 в части удовлетворения первоначального иска о взыскании с предпринимателя 85 749,72 рублей штрафа, считая их незаконными и необоснованными в указанной части. При изучении доводов жалобы и принятых по делу судебных актов оснований для удовлетворения жалобы не установлено. При рассмотрении дела в обжалуемой части суды апелляционной и кассационной инстанций руководствовались положениями статей 309 , 310 , 450 , 779 Гражданского кодекса Российской Федерации, статьи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 признали доказанным факт ненадлежащего исполнения предпринимателем обязательств по контракту и наличие оснований для начисления штрафа в спорном размере. Доводы кассационной жалобы были предметом исследования судов и получили исчерпывающую правовую оценку с учетом представленных сторонами доказательств и толкования судами конкретных условий контракта, не согласиться с которой оснований не имеется. Доводов о том, что предусмотренная контрактом методика начисления примененного штрафа заведомо поставило заказчика в более выгодное положение и позволило ему извлечь необоснованное преимущество, не приведено и судами таких обстоятельств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УФНС РОССИИ ПО ОРЛОВСКОЙ ОБЛАСТИ (подробнее) Ответчики: ИП Башлы Полина Ивановна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