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учредитель и бывший генеральный директор Галеев Р.Л. обратился в суд с жалобой на бездействие конкурсного управляющего должником Камаловой Эльмиры Хасиятовны, отстранении от исполнения возложенных на неё обязанностей. Определением Арбитражного суда Московской области от 13.04.2020 требования удовлетворены в части. Постановлением Десятого арбитражного апелляционного суда от 20.08.2020, оставленным без изменения постановлением Арбитражного суда Московского округа от 03.12.2020, вышеуказанное определение отменено; в удовлетворении жалобы отказано.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и повторно разрешая спор, апелляционный суд руководствовался статьями 20.3, 60, 129 Федерального закона от 26.10.2002 № 127-ФЗ «О несостоятельности (банкротстве)», установил, что конкурсный управляющий должником действовала в интересах кредиторов, предпринимая все необходимые и достаточные действия для розыска имущества, в связи с чем признал необоснованными выводы суда первой инстанции о незаконности бездействия конкурсного управляющего должником. Суд округа согласился с выводами суда апелляционной инстанции. Выводы судов апелляционной инстанции и округа соответствуют нормам права, основания для переоценки данных выводов отсутствуют.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Галееву Радику Львовичу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