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инспекции Федеральной налоговой службы России № 19 по городу Москве (далее – уполномоченный орган) обратилась в суд с заявлением о взыскании с бывшего конкурсного управляющего должником Гладышева Дмитрия Александровича убытков в размере 75 798 243 рублей 36 копеек. Определением Арбитражного суда города Москвы от 27.05.2020, оставленным без изменения постановлениями Девятого арбитражного апелляционного суда от 17.08.2020 и Арбитражного суда Московского округа от 11.11.2020,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129 Федерального закона от 26.10.2002 № 127-ФЗ «О несостоятельности (банкротстве)», исходили из доказанности всей совокупности условий, необходимых для привлечения бывшего конкурсного управляющего должником Гладышева Д.А. к гражданско-правовой ответственности в виде возмещения убытков, возникших в результате непринятия мер по оспариванию подозрительных сделок, невозвращения имущества должника, не проведения инвентаризации имущества и непредставления её результатов, сохранения в штате работников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саморегулируемой организации «Объединение арбитражных управляющих «Лидер»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