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Тамбов</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310-ЭС20-23165 ОПРЕДЕЛЕНИ Е г. Москва 12.02.2021 Судья Верховного Суда Российской Федерации Першутов А.Г., изучив кассационную жалобу акционерного общества «Объединенные региональные электрические сети Тамбова» на постановление Арбитражного суда Центрального округа от 15.10.2020 по делу № А64-6686/2019 Арбитражного суда Тамбовской области по заявлению акционерного общества «Объединенные региональные электрические сети Тамбова» к Муниципальному образованию городского округа -</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19.02.2020, оставленным без изменения постановлением Девятнадцатого арбитражного апелляционного суда от 29.06.2020, иск удовлетворен. Постановлением Арбитражного суда Центрального округа от 15.10.2020 названные судебные акты отменены, дело направлено на новое рассмотрение в суд первой инстанции. 2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определить характер правоотношений, в рамках которых заявлены исковые требования, установить все имеющие значение для дела обстоятельства, а также закон, подлежащий применению, и с учетом указанных обстоятельств принять законное и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3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Ссылка на судебные акты по другому делу в обоснование отсутствия единообразного толкования судами норм права не может служить основанием для отмены обжалуемого судебного акта, поскольку решение суда связано с установлением характера возникших между сторонами правоотношений в каждом конкретном споре.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