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«Техно» (далее – общество) обратилось в суд с заявлением об изменении размера требований в связи с расчётом процентов на дату введения процедуры наблюдения. Определением Арбитражного суда Московской области от 07.02.2019, оставленным без изменения постановлениями Десятого арбитражного апелляционного суда от 10.06.2020 и Арбитражного суда Московского округа от 28.12.2020, требование общества в размере 5 265 779 рублей 79 копеек за пользование кредитом и 1 018 055 рублей 47 копеек пени признано обоснованным, но подлежащим удовлетворению за счёт оставшегося после удовлетворения требований реестровых кредиторов имущества;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заявления общества.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100, 142 Федерального закона от 26.10.2002 № 127-ФЗ «О несостоятельности (банкротстве)», абзацем третьим пункта 3 информационного письма Президиума Высшего Арбитражного Суда Российской Федерации от 26.07.2005 № 93 «О некоторых вопросах, связанных с исчислением отдельных сроков по делам о банкротстве», пунктами 6.1 и 6.2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29.01.2020, применительно к конкретным фактическим обстоятельствам не установили оснований для субординации требования по корпоративным основаниям, однако ввиду пропуска обществом двух месяцев с даты опубликования сведений о признании должника банкротом и об открытии конкурсного производства, понизили очерёдность его удовлетворения.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Галееву Радику Львовичу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